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    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к основной образовательной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программе начального общего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образования, утвержденной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приказом № </w:t>
      </w:r>
      <w:r>
        <w:rPr>
          <w:rFonts w:eastAsia="Times New Roman" w:cs="Times New Roman"/>
          <w:sz w:val="28"/>
          <w:szCs w:val="28"/>
        </w:rPr>
        <w:t>46</w:t>
      </w:r>
      <w:r>
        <w:rPr>
          <w:rFonts w:eastAsia="Times New Roman" w:cs="Times New Roman"/>
          <w:sz w:val="28"/>
          <w:szCs w:val="28"/>
        </w:rPr>
        <w:t>/</w:t>
      </w:r>
      <w:r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от 3</w:t>
      </w:r>
      <w:r>
        <w:rPr>
          <w:rFonts w:eastAsia="Times New Roman" w:cs="Times New Roman"/>
          <w:sz w:val="28"/>
          <w:szCs w:val="28"/>
        </w:rPr>
        <w:t>0</w:t>
      </w:r>
      <w:r>
        <w:rPr>
          <w:rFonts w:eastAsia="Times New Roman" w:cs="Times New Roman"/>
          <w:sz w:val="28"/>
          <w:szCs w:val="28"/>
        </w:rPr>
        <w:t>.08.20</w:t>
      </w:r>
      <w:r>
        <w:rPr>
          <w:rFonts w:eastAsia="Times New Roman" w:cs="Times New Roman"/>
          <w:sz w:val="28"/>
          <w:szCs w:val="28"/>
        </w:rPr>
        <w:t>19</w:t>
      </w:r>
      <w:r>
        <w:rPr>
          <w:rFonts w:eastAsia="Times New Roman" w:cs="Times New Roman"/>
          <w:sz w:val="28"/>
          <w:szCs w:val="28"/>
        </w:rPr>
        <w:t xml:space="preserve">г.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РАБОЧАЯ ПРОГРАММА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УЧЕБНОМУ ПРЕДМЕТУ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Математика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коррекция   ОВЗ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вид 7.2)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для 3 класса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ab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Cambria" w:hAnsi="Cambria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Cambria" w:hAnsi="Cambria"/>
          <w:b/>
          <w:bCs/>
          <w:sz w:val="27"/>
          <w:szCs w:val="27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Cambria" w:hAnsi="Cambria"/>
          <w:b/>
          <w:bCs/>
          <w:sz w:val="27"/>
          <w:szCs w:val="27"/>
          <w:lang w:eastAsia="ru-RU"/>
        </w:rPr>
        <w:t>МАТЕМАТИКА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Данная программа предназначена для проведения  коррекционных занятий по математике в 3 классе, в котором ведется обучение  по программе  для детей  с ОВЗ (VII вид)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(2 обучающихся) с целью коррекции отклонений в развитии познавательной деятельности, формирования и развития грамматико-аналитических навыков учащихся с трудностями в освоении программы, восполнению пробелов в их знаниях, пропедевтике изучения трудных тем, обогащению и расширению словаря и речевому развитию в целом.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учитывает </w:t>
      </w:r>
      <w:r>
        <w:rPr>
          <w:b/>
          <w:bCs/>
          <w:sz w:val="28"/>
          <w:szCs w:val="28"/>
        </w:rPr>
        <w:t>особенности детей с ОВЗ VII вида: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памяти: дети значительно лучше запоминают наглядный материал (неречевой), чем вербальный.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 детей с ОВЗ VII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Развивать познавательную активность учащихся.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Развивать общеинтеллектуальные умения: приемы анализа, сравнения, обобщения, навыки группировки и классификации.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Развивать словарь, обогащать содержательную сторону высказывания учащихся, формировать и развивать умения в построении связного высказывания..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Развивать общеучебные умения: работа с книгой,  совершенствовать навыки чтения.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Воспитательные: 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Воспитывать нравственные качества учащихся, уважение к труду, любовь к родному краю и т.д. средствами данного предмета.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Воспитывать навыки самоконтроля, самооценки.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начале учебного года учитель выявляет степень готовности учащихся к обучению; наличие знаний, навыков, умений по основным разделам программы. Формы проведения этих занятий могут быть следующими: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беседа по знакомой ребенку теме;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устные и письменные диктанты;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выполнение заданий по словесной инструкции;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решение по образцу;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-составление образца по элементам;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обследование речи ребенка.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40"/>
          <w:szCs w:val="40"/>
        </w:rPr>
      </w:pPr>
      <w:r>
        <w:rPr>
          <w:rFonts w:eastAsia="Calibri" w:cs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u w:val="single"/>
          <w:lang w:eastAsia="ru-RU"/>
        </w:rPr>
        <w:t>План занятий включает в себя: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восполнение пробелов предшествующего развития;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коррекция дефекта;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подготовка ребенка к усвоению программного материала.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Работа происходит дифференцированно с применением следующих методических приемов: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Поэтапное разъяснение заданий.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Последовательное выполнение заданий.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Повторение учащимся инструкции к выполнению задания.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Обеспечение необходимыми средствами обучения.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Близость к учащимся во время объяснения задания.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Перемена видов деятельности.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Предоставление дополнительного времени для завершения задания.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Упрощенные задания на дом.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Предоставление дополнительного времени для сдачи домашнего задания.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Использование карточек с упражнениями, которые требуют минимального заполнения.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Использование упрощенных упражнений.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Использование индивидуальной шкалы оценок в соответствии с успехами и затраченными усилиями.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Ежедневная оценка с целью выведения четвертной отметки.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Разрешение переделать задание, с которым учащийся не справился.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Оценка переделанных работ.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Материал занятия отбирается в зависимости от имеющихся нарушений. При планировании и проведении занятий особое внимание уделяется предметно-практической деятельности.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Содержание занятий максимально направлено на развитие ученика. На занятиях используются различные виды практической деятельности.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Действия с реальными предметами, использование наглядно-графических схем и т.д. Создается возможность для широкой подготовки учащихся  к выполнению различного типа задач: формирование пространственных представлений, умения сравнивать, обобщать предметы и явления, анализировать слова и предложения различной структуры; осмысления художественных текстов; развития навыков планирования собственной деятельности, контроля и словесного отчета.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работе с каждым типом упражнений, заданий целью является: добиться полного понимания и безошибочного выполнения, только после этого следует переход к другому типу заданий. Часть занятий проводится в игровой форме. Этим поддерживается постоянный интерес к занятиям.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проведении игр и упражнений исключается ситуация неудач. Реакция на ошибки проявляется в форме помощи.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Коррекционно-развивающие занятия должны обеспечить не только усвоение определенных знаний, умений и навыков, но также формирование приемов умственной деятельности.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Немаловажной задачей является выработка положительной мотивации к учению.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Структура программы коррекционных занятий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включает следующие разделы: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Формирование  и развитие грамматико-аналитических навыков.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Цель введения данного раздела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привести в систему те неполные и неточные навыки, которые имеются у учащихся по грамматике и правописанию, к пополнению их новыми сведениями. Материал для освоения преподносится предельно развернуто;  значительное место отводится предметно-практической деятельности учащихся: работа с упражнениями, алгоритмом разбора слов и предложений и др. Выполнение письменных заданий предваряется анализом языкового материала с целью предупреждения ошибок.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Пропедевтика изучения трудных тем.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Некоторые темы, включенные в содержание программы,  требуют особого подхода со стороны педагога и учащихся: перед изучением нового материала следует активизировать имеющиеся знания, систематизировать теоретические сведения для полноценного усвоения нового. Изучение наиболее трудных орфографических и грамматических тем предваряется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 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Восполнение пробелов в знаниях.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процессе обучения выявляется запас знаний и представлений, умений и навыков учеников, пробелы в усвоении ими программного материала по отдельным ранее пройденным учебным разделам. На результативность индивидуальной коррекционной работы решающее влияние оказывает качество и полнота педагогической диагностики. Тщательное изучение индивидуальных особенностей учащихся позволяет планировать перспективы и сроки работы с ними по восполнению пробелов в знаниях, ликвидации отставания в освоении программного материала.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Развитие речи.</w:t>
      </w:r>
    </w:p>
    <w:p>
      <w:pPr>
        <w:pStyle w:val="Normal"/>
        <w:spacing w:lineRule="auto" w:line="240" w:before="0" w:after="0"/>
        <w:ind w:left="87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Цель данного раздела – обогащать содержательную сторону высказываний учащихся, формировать и развивать умения в построении связного текста. Большое внимание уделяется уточнению, пополнению и расширению словарного запаса учащихся путем соотнесения с предметами, явлениями окружающего мира, с их признаками, назначением; упражнениями в отборе языковых средств в тексте в зависимости от темы, цели и ситуации общения.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СОДЕРЖАНИЕ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(34часа)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Числа от 1 до 100 Сложение и вычитание -  (2 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Устные и письменные приемы сложения и вычитания чисел в пределах 100.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Обозначение геометрических фигур буквами.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Табличное умножение и деление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14ч)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выполнения действий в выражениях со скобками и без скобок.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Текстовые задачи на увеличение (уменьшение) числа в несколько раз, на кратное сравнение чисел.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Таблица умножения и деления с числами 4, 5, 6, 7, 8, 9. Сводная таблица умножения.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Умножение числа 1 и на 1. Умножение числа 0 и на 0, деление числа 0, невозможность деления на 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Площадь. Способы сравнения фигур по площади. Площадь прямоугольника (квадрата).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Текстовые задачи в три действия.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Внетабличное умножение и деление (9ч)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Умножение суммы на число. Приёмы умножения для случаев вида 23 • 4, 4 • 23. Приёмы умножения и деления для случаев вида 20 • 3, 3 • 20, 60 : 3, 80 : 20.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Деление суммы на число. Связь между числами при делении. Проверка деления.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Приём деления для случаев вида 87 : 29, 66 : 22. Проверка умножения делением. Выражения с двумя переменными вида а + в, а - в, а • в, с :d . Вычисление их значений при заданных числовых значениях входящих в них букв.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Решение уравнений на основе связи между компонентами и результатами умножения и деления.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Числа от 1 до 1000. Нумерация (3 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Устная и письменная нумерация. Разряды счётных единиц. Натуральная последовательность трёхзначных чисел.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Увеличение и уменьшение числа в 10 раз, в 100 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Замена трёхзначного числа суммой разрядных слагаемых.6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Сравнение трёхзначных чисел. Определение общего числа единиц (десятков, сотен) в числе.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Числа от 1 до 1000. Сложение и вычитание (2 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Приёмы устных вычислений в случаях, сводимых к действиям в пределах 100. Письменные приемы сложения и вычитания.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Решение задач в 1-3 действия на сложение.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Числа от 1 до 1000. Умножение и деление.  Приёмы письменных вычислений. (4ч)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Устные приемы умножения и деления чисел в случаях, сводимых к действиям в пределах 100.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Письменные приемы умножения и деления на однозначное число.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Решение задач в 1-3 действия на умножение и деление.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18"/>
        <w:ind w:left="5740" w:right="-2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Уче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spacing w:val="-1"/>
          <w:w w:val="99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spacing w:val="1"/>
          <w:w w:val="99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spacing w:val="-1"/>
          <w:w w:val="99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spacing w:val="-2"/>
          <w:w w:val="99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spacing w:val="-8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spacing w:val="-1"/>
          <w:w w:val="99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ич</w:t>
      </w:r>
      <w:r>
        <w:rPr>
          <w:rFonts w:eastAsia="Times New Roman" w:cs="Times New Roman" w:ascii="Times New Roman" w:hAnsi="Times New Roman"/>
          <w:b/>
          <w:bCs/>
          <w:spacing w:val="4"/>
          <w:w w:val="99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ский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пл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eastAsia="ru-RU"/>
        </w:rPr>
        <w:t>н</w:t>
      </w:r>
    </w:p>
    <w:tbl>
      <w:tblPr>
        <w:tblW w:w="12050" w:type="dxa"/>
        <w:jc w:val="left"/>
        <w:tblInd w:w="1423" w:type="dxa"/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1559"/>
        <w:gridCol w:w="7371"/>
        <w:gridCol w:w="3120"/>
      </w:tblGrid>
      <w:tr>
        <w:trPr>
          <w:trHeight w:val="286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Наимен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w w:val="9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w w:val="99"/>
                <w:sz w:val="28"/>
                <w:szCs w:val="2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тем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spacing w:val="1"/>
                <w:w w:val="99"/>
                <w:sz w:val="28"/>
                <w:szCs w:val="28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w w:val="99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w w:val="99"/>
                <w:sz w:val="28"/>
                <w:szCs w:val="2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в</w:t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Числа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 100.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spacing w:val="-5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3"/>
                <w:w w:val="99"/>
                <w:sz w:val="28"/>
                <w:szCs w:val="2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</w:t>
            </w:r>
            <w:r>
              <w:rPr>
                <w:rFonts w:eastAsia="Times New Roman" w:cs="Times New Roman" w:ascii="Times New Roman" w:hAnsi="Times New Roman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ание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6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pacing w:val="-6"/>
                <w:w w:val="99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ичн</w:t>
            </w:r>
            <w:r>
              <w:rPr>
                <w:rFonts w:eastAsia="Times New Roman" w:cs="Times New Roman"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3"/>
                <w:w w:val="99"/>
                <w:sz w:val="28"/>
                <w:szCs w:val="2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делен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6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Числа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 100.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Вне</w:t>
            </w:r>
            <w:r>
              <w:rPr>
                <w:rFonts w:eastAsia="Times New Roman" w:cs="Times New Roman" w:ascii="Times New Roman" w:hAnsi="Times New Roman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spacing w:val="-5"/>
                <w:w w:val="99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личн</w:t>
            </w:r>
            <w:r>
              <w:rPr>
                <w:rFonts w:eastAsia="Times New Roman" w:cs="Times New Roman" w:ascii="Times New Roman" w:hAnsi="Times New Roman"/>
                <w:spacing w:val="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5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4"/>
                <w:w w:val="99"/>
                <w:sz w:val="28"/>
                <w:szCs w:val="2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деление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Числа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 1000. </w:t>
            </w:r>
            <w:r>
              <w:rPr>
                <w:rFonts w:eastAsia="Times New Roman" w:cs="Times New Roman" w:ascii="Times New Roman" w:hAnsi="Times New Roman"/>
                <w:spacing w:val="3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-7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ац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6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Числа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 1000.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spacing w:val="-5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3"/>
                <w:w w:val="99"/>
                <w:sz w:val="28"/>
                <w:szCs w:val="2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</w:t>
            </w:r>
            <w:r>
              <w:rPr>
                <w:rFonts w:eastAsia="Times New Roman" w:cs="Times New Roman" w:ascii="Times New Roman" w:hAnsi="Times New Roman"/>
                <w:spacing w:val="2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ание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5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4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Числа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 1000. </w:t>
            </w:r>
            <w:r>
              <w:rPr>
                <w:rFonts w:eastAsia="Times New Roman" w:cs="Times New Roman" w:ascii="Times New Roman" w:hAnsi="Times New Roman"/>
                <w:spacing w:val="-21"/>
                <w:w w:val="99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мн</w:t>
            </w: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-2"/>
                <w:w w:val="99"/>
                <w:sz w:val="28"/>
                <w:szCs w:val="2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pacing w:val="-1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деле</w:t>
            </w:r>
            <w:r>
              <w:rPr>
                <w:rFonts w:eastAsia="Times New Roman" w:cs="Times New Roman" w:ascii="Times New Roman" w:hAnsi="Times New Roman"/>
                <w:spacing w:val="1"/>
                <w:w w:val="99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6" w:hRule="exact"/>
        </w:trPr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5240" w:right="-2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w w:val="99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spacing w:val="1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spacing w:val="-6"/>
                <w:w w:val="99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19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eastAsia="Times New Roman" w:cs="Times New Roman" w:ascii="Times New Roman" w:hAnsi="Times New Roman"/>
                <w:b/>
                <w:w w:val="99"/>
                <w:sz w:val="28"/>
                <w:szCs w:val="28"/>
                <w:lang w:eastAsia="ru-RU"/>
              </w:rPr>
              <w:t>ч</w:t>
            </w:r>
          </w:p>
          <w:p>
            <w:pPr>
              <w:pStyle w:val="Normal"/>
              <w:widowControl w:val="false"/>
              <w:spacing w:lineRule="auto" w:line="218" w:before="0" w:after="0"/>
              <w:ind w:left="110" w:right="-2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349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spacing w:before="280" w:after="280"/>
        <w:rPr>
          <w:b/>
          <w:b/>
          <w:bCs/>
          <w:sz w:val="27"/>
          <w:szCs w:val="27"/>
        </w:rPr>
      </w:pPr>
      <w:r>
        <w:rPr/>
      </w:r>
    </w:p>
    <w:sectPr>
      <w:footerReference w:type="default" r:id="rId2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7980490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232172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23217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23217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236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115e2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2321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2321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2321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26ebf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LibreOffice/6.4.6.2$Linux_X86_64 LibreOffice_project/40$Build-2</Application>
  <Pages>8</Pages>
  <Words>1502</Words>
  <Characters>10021</Characters>
  <CharactersWithSpaces>12145</CharactersWithSpaces>
  <Paragraphs>135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2021-11-22T17:56:00Z</dcterms:created>
  <dc:creator>LadyBoss</dc:creator>
  <dc:description/>
  <dc:language>ru-RU</dc:language>
  <cp:lastModifiedBy/>
  <cp:lastPrinted>2021-11-25T16:21:00Z</cp:lastPrinted>
  <dcterms:modified xsi:type="dcterms:W3CDTF">2022-05-24T10:59:14Z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