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Приложение    4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к основной образовательной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программе начального общего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>образования, утвержденной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8"/>
          <w:szCs w:val="28"/>
        </w:rPr>
        <w:t xml:space="preserve">приказом № </w:t>
      </w:r>
      <w:r>
        <w:rPr>
          <w:rFonts w:eastAsia="Times New Roman" w:cs="Times New Roman"/>
          <w:sz w:val="28"/>
          <w:szCs w:val="28"/>
        </w:rPr>
        <w:t>46</w:t>
      </w:r>
      <w:r>
        <w:rPr>
          <w:rFonts w:eastAsia="Times New Roman" w:cs="Times New Roman"/>
          <w:sz w:val="28"/>
          <w:szCs w:val="28"/>
        </w:rPr>
        <w:t>/</w:t>
      </w:r>
      <w:r>
        <w:rPr>
          <w:rFonts w:eastAsia="Times New Roman" w:cs="Times New Roman"/>
          <w:sz w:val="28"/>
          <w:szCs w:val="28"/>
        </w:rPr>
        <w:t>9</w:t>
      </w:r>
      <w:r>
        <w:rPr>
          <w:rFonts w:eastAsia="Times New Roman" w:cs="Times New Roman"/>
          <w:sz w:val="28"/>
          <w:szCs w:val="28"/>
        </w:rPr>
        <w:t xml:space="preserve"> от 3</w:t>
      </w:r>
      <w:r>
        <w:rPr>
          <w:rFonts w:eastAsia="Times New Roman" w:cs="Times New Roman"/>
          <w:sz w:val="28"/>
          <w:szCs w:val="28"/>
        </w:rPr>
        <w:t>0</w:t>
      </w:r>
      <w:r>
        <w:rPr>
          <w:rFonts w:eastAsia="Times New Roman" w:cs="Times New Roman"/>
          <w:sz w:val="28"/>
          <w:szCs w:val="28"/>
        </w:rPr>
        <w:t>.08.20</w:t>
      </w:r>
      <w:r>
        <w:rPr>
          <w:rFonts w:eastAsia="Times New Roman" w:cs="Times New Roman"/>
          <w:sz w:val="28"/>
          <w:szCs w:val="28"/>
        </w:rPr>
        <w:t>19</w:t>
      </w:r>
      <w:r>
        <w:rPr>
          <w:rFonts w:eastAsia="Times New Roman" w:cs="Times New Roman"/>
          <w:sz w:val="28"/>
          <w:szCs w:val="28"/>
        </w:rPr>
        <w:t xml:space="preserve">г.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ПО УЧЕБНОМУ ПРЕДМЕТУ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«РУССКИЙ ЯЗЫК»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коррекция   ОВЗ ( вид 7.2) для 3 класса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Cambria" w:hAnsi="Cambria"/>
          <w:b/>
          <w:bCs/>
          <w:sz w:val="27"/>
          <w:szCs w:val="27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beforeAutospacing="1" w:afterAutospacing="1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Cambria" w:hAnsi="Cambria"/>
          <w:b/>
          <w:bCs/>
          <w:sz w:val="27"/>
          <w:szCs w:val="27"/>
          <w:lang w:eastAsia="ru-RU"/>
        </w:rPr>
        <w:t xml:space="preserve">Русский язык 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bCs/>
          <w:i/>
          <w:iCs/>
          <w:color w:val="000000"/>
          <w:sz w:val="28"/>
          <w:szCs w:val="28"/>
          <w:lang w:eastAsia="ru-RU"/>
        </w:rPr>
        <w:t>Данная программа предназначена для проведения  коррекционных занятий по русскому языку в 3 классе, в котором ведется обучение  по программе  для детей  с ОВЗ (VII вид)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(2 обучающихся) с целью коррекции отклонений в развитии познавательной деятельности, формирования и развития грамматико-аналитических навыков учащихся с трудностями в освоении программы, восполнению пробелов в их знаниях, пропедевтике изучения трудных тем, обогащению и расширению словаря и речевому развитию в целом.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Посредством формирования и развития грамматико-аналитических орфографических и пунктуационных навыков систематизировать те непрочные знания и навыки, которые имеются у учащихся по грамматике, орфографии и пунктуации.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Обеспечить усвоение учениками знаний, умений, навыков в пределах программных требований, необходимых для развития речи, грамотного письма и сознательного, правильного, выразительного чтения.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Расширить кругозор школьников; заложить основы навыков учебной работы; привить интерес к родному языку, к чтению, книге; сформировать нравственные и эстетические представления.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Autospacing="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Способствовать развитию наглядно-образного и логического мышления. Эффективность обучения детей с задержкой психического развития зависит от решения коррекционно-развивающих, коррекционно-образовательных и коррекционно-воспитательных задач.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Развивать познавательную активность учащихся.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Развивать общеинтеллектуальные умения: приемы анализа, сравнения, обобщения, навыки группировки и классификации.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Развивать словарь, обогащать содержательную сторону высказывания учащихся, формировать и развивать умения в построении связного текста.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Развивать общеучебные умения: работа с книгой, со справочной литературой, совершенствовать навыки чтения. 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Воспитательные: 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Воспитывать нравственные качества учащихся, уважение к труду, любовь к родному краю и т.д. средствами данного предмета.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Воспитывать навыки самоконтроля, самооценки.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 начале учебного года учитель выявляет степень готовности учащихся к обучению; наличие знаний, навыков, умений по основным разделам программы. Формы проведения этих занятий могут быть следующими: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беседа по знакомой ребенку теме;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устные и письменные диктанты;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выполнение заданий по словесной инструкции;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списывание с образца;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-составление образца по элементам;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обследование речи ребенка.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eastAsia="Times New Roman" w:ascii="Times New Roman" w:hAnsi="Times New Roman"/>
          <w:b/>
          <w:color w:val="000000"/>
          <w:sz w:val="28"/>
          <w:szCs w:val="28"/>
          <w:u w:val="single"/>
          <w:lang w:eastAsia="ru-RU"/>
        </w:rPr>
        <w:t>План занятий включает в себя: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восполнение пробелов предшествующего развития;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коррекция дефекта;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подготовка ребенка к усвоению программного материала.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Работа происходит дифференцированно с применением следующих методических приемов: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Поэтапное разъяснение заданий.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Последовательное выполнение заданий.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Повторение учащимся инструкции к выполнению задания.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Обеспечение необходимыми средствами обучения.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Близость к учащимся во время объяснения задания.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Перемена видов деятельности.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- Предоставление дополнительного времени для завершения задания.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- Упрощенные задания на дом.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Предоставление дополнительного времени для сдачи домашнего задания.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Использование карточек с упражнениями, которые требуют минимального заполнения.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- Использование упрощенных упражнений.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Использование индивидуальной шкалы оценок в соответствии с успехами и затраченными усилиями.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Ежедневная оценка с целью выведения четвертной отметки.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Разрешение переделать задание, с которым учащийся не справился.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- Оценка переделанных работ.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- Использование системы оценок достижений учащихся на их личном примере.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Материал занятия отбирается в зависимости от имеющихся нарушений. При планировании и проведении занятий особое внимание уделяется предметно-практической деятельности.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Содержание занятий максимально направлено на развитие ученика. На занятиях используются различные виды практической деятельности.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Действия с реальными предметами, использование наглядно-графических схем и т.д. Создается возможность для широкой подготовки учащихся  к выполнению различного типа задач: формирование пространственных представлений, умения сравнивать, обобщать предметы и явления, анализировать слова и предложения различной структуры; осмысления художественных текстов; развития навыков планирования собственной деятельности, контроля и словесного отчета.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При работе с каждым типом упражнений, заданий целью является: добиться полного понимания и безошибочного выполнения, только после этого следует переход к другому типу заданий. Часть занятий проводится в игровой форме. Этим поддерживается постоянный интерес к занятиям.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При проведении игр и упражнений исключается ситуация неудач. Реакция на ошибки проявляется в форме помощи.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Коррекционно-развивающие занятия должны обеспечить не только усвоение определенных знаний, умений и навыков, но также формирование приемов умственной деятельности.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Немаловажной задачей является выработка положительной мотивации к учению.  </w:t>
      </w:r>
    </w:p>
    <w:p>
      <w:pPr>
        <w:pStyle w:val="Normal"/>
        <w:spacing w:before="0" w:after="0"/>
        <w:ind w:left="360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ind w:left="360" w:hanging="0"/>
        <w:jc w:val="center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Структура программы коррекционных занятий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включает следующие разделы: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Формирование  и развитие грамматико-аналитических навыков.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u w:val="single"/>
          <w:lang w:eastAsia="ru-RU"/>
        </w:rPr>
        <w:t>Цель введения данного раздела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– привести в систему те неполные и неточные навыки, которые имеются у учащихся по грамматике и правописанию, к пополнению их новыми сведениями. Материал для освоения преподносится предельно развернуто;  значительное место отводится предметно-практической деятельности учащихся: работа с упражнениями, алгоритмом разбора слов и предложений и др. Выполнение письменных заданий предваряется анализом языкового материала с целью предупреждения ошибок.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Пропедевтика изучения трудных тем.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Некоторые темы, включенные в содержание программы,  требуют особого подхода со стороны педагога и учащихся: перед изучением нового материала следует активизировать имеющиеся знания, систематизировать теоретические сведения для полноценного усвоения нового. Изучение наиболее трудных орфографических и грамматических тем предваряется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 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Восполнение пробелов в знаниях.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В процессе обучения выявляется запас знаний и представлений, умений и навыков учеников, пробелы в усвоении ими программного материала по отдельным ранее пройденным учебным разделам. На результативность индивидуальной коррекционной работы решающее влияние оказывает качество и полнота педагогической диагностики. Тщательное изучение индивидуальных особенностей учащихся позволяет планировать перспективы и сроки работы с ними по восполнению пробелов в знаниях, ликвидации отставания в освоении программного материала.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eastAsia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eastAsia="ru-RU"/>
        </w:rPr>
        <w:t>Развитие речи.</w:t>
      </w:r>
    </w:p>
    <w:p>
      <w:pPr>
        <w:pStyle w:val="ListParagraph"/>
        <w:spacing w:before="0" w:after="0"/>
        <w:ind w:left="870" w:hanging="0"/>
        <w:contextualSpacing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Цель данного раздела – обогащать содержательную сторону высказываний учащихся, формировать и развивать умения в построении связного текста. Большое внимание уделяется уточнению, пополнению и расширению словарного запаса учащихся путем соотнесения с предметами, явлениями окружающего мира, с их признаками, назначением; упражнениями в отборе языковых средств в тексте в зависимости от темы, цели и ситуации общения.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СОДЕРЖАНИЕ ПРОГРАММЫ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(34часа)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Язык и речь (2 ч)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Виды речи.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Речь, её назначение. Речь — отражение культуры человека. Язык, его назначение и его выбор в соответствии c целями и условиями общения. Формирование представлений o языке,  как основе национального самосознания. Развитие речи Составление текста по рисунку. Текст. Предложение.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Словосочетание и предложение (2 ч)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Признаки текста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 Формирование навыка смыслового чтения текста различных стилей и жанров в соответствии c учебными целями и задачами. Предложение (повторение и углубление представлений o предложении и диалоге).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</w:t>
      </w: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Главные и второстепенные члены предложения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(без терминов и названий). Распространённые и нераспространённые предложения. Формирование навыков работы c графической и текстовой информацией (таблицы и памятки). Разбор предложения по членам. Простое и сложное предложения (общее представление). Запятая внутри сложного предложения. Связь слов в словосочетании. Определение в словосочетании главного и зависимого слов при помощи вопроса.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Развитие речи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Составление небольшого рассказа по репродукции картины. Составление предложений (и текста) из деформированных слов, a также по рисунку, по заданной теме, по модели.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Слово в языке и речи (4 ч)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Лексическое значение слова.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 xml:space="preserve">Работа с толковым словарём, словарём синонимов и антонимов.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Использование омонимов в речи.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Работа co словарём омонимов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Слово и словосочетание. Значение фразеологизмов и их использование в речи. Работа co словарём фразеологизмов.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Развитие интереса к происхождению слов, к истории возникновения фразеологизмов.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Обобщение и углубление представлений об изученных частях речи (имени существительном, имени прилагательном, глаголе, местоимении) и их признаках.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Формирование умений видеть красоту и образность слов русского языка в пейзажных зарисовках текста.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contextualSpacing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 xml:space="preserve">Состав слова (11 ч) </w:t>
      </w:r>
    </w:p>
    <w:p>
      <w:pPr>
        <w:pStyle w:val="Normal"/>
        <w:spacing w:lineRule="auto" w:line="276" w:beforeAutospacing="1" w:afterAutospacing="1"/>
        <w:ind w:left="720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Корень слова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Однокоренные слова. Чередование согласных в корне. Сложные слова. Развитие интереса к истории языка, изменениям, происходящим в нём. Формы слова. Окончание. Значение приставки и суффикса в слове. Основа слова. Разбор слова по составу. Знакомство co словообразовательным словарём. Изменяемые и неизменяемые слова, их употребление в речи. </w:t>
      </w: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Разбор слова по составу.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Формирование навыка моделирования слов. </w:t>
      </w: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Развитие речи.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Сочинение по репродукции картины. Редактирование предложений c неуместным употреблением в них однокоренных слов. Подробное изложение повествовательного текста c языковым анализом. </w:t>
      </w:r>
    </w:p>
    <w:p>
      <w:pPr>
        <w:pStyle w:val="Normal"/>
        <w:numPr>
          <w:ilvl w:val="0"/>
          <w:numId w:val="2"/>
        </w:numPr>
        <w:spacing w:lineRule="auto" w:line="276" w:beforeAutospacing="1" w:afterAutospacing="1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eastAsia="ru-RU"/>
        </w:rPr>
        <w:t>Части речи (15 ч.)</w:t>
      </w:r>
    </w:p>
    <w:p>
      <w:pPr>
        <w:pStyle w:val="Normal"/>
        <w:spacing w:lineRule="auto" w:line="276" w:beforeAutospacing="1" w:afterAutospacing="1"/>
        <w:ind w:left="1069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Части речи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: имя существительное,  имя прилагательное,  имя числительное,  местоимение,  глагол,  предлог, частица не, союз (общее представление).</w:t>
      </w:r>
    </w:p>
    <w:p>
      <w:pPr>
        <w:pStyle w:val="Normal"/>
        <w:spacing w:lineRule="auto" w:line="276" w:beforeAutospacing="1" w:afterAutospacing="1"/>
        <w:ind w:left="1069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Имя существительное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Значение и употребление имён существительных в речи. Одушевлённые и неодушевлённые имена существительные. Представление об устаревших словах в русском языке. Собственные и нарицательные имена существительные. Правописание имён собственных. Изменение имён существительных по числам. Имена существительные, имеющие форму одного числа (салазки, мёд). Имена существительные общего рода (первое представление). </w:t>
      </w:r>
    </w:p>
    <w:p>
      <w:pPr>
        <w:pStyle w:val="Normal"/>
        <w:spacing w:lineRule="auto" w:line="276" w:beforeAutospacing="1" w:afterAutospacing="1"/>
        <w:ind w:left="1069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Формирование навыка культуры речи: норм согласования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(серая мышь, вкусная карамель, листва облетела и др.). </w:t>
      </w:r>
    </w:p>
    <w:p>
      <w:pPr>
        <w:pStyle w:val="Normal"/>
        <w:spacing w:lineRule="auto" w:line="276" w:beforeAutospacing="1" w:afterAutospacing="1"/>
        <w:ind w:left="1069" w:hanging="0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i/>
          <w:iCs/>
          <w:sz w:val="28"/>
          <w:szCs w:val="28"/>
          <w:lang w:eastAsia="ru-RU"/>
        </w:rPr>
        <w:t>Мягкий знак (ь) после шипящих на конце имён существительных женского рода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(рожь, тишь, вещь).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Учебно-тематический план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/>
          <w:b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</w:r>
    </w:p>
    <w:tbl>
      <w:tblPr>
        <w:tblStyle w:val="a4"/>
        <w:tblW w:w="12694" w:type="dxa"/>
        <w:jc w:val="left"/>
        <w:tblInd w:w="124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5"/>
        <w:gridCol w:w="7370"/>
        <w:gridCol w:w="3339"/>
      </w:tblGrid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Всего часов</w:t>
            </w:r>
          </w:p>
        </w:tc>
      </w:tr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Язык и речь.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Предложение. Словосочетание.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Слово в языке и речи.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Состав слова.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985" w:type="dxa"/>
            <w:tcBorders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7370" w:type="dxa"/>
            <w:tcBorders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39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eastAsia="ru-RU"/>
              </w:rPr>
              <w:t>34 часа</w:t>
            </w:r>
          </w:p>
        </w:tc>
      </w:tr>
    </w:tbl>
    <w:p>
      <w:pPr>
        <w:pStyle w:val="Normal"/>
        <w:spacing w:beforeAutospacing="1" w:afterAutospacing="1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Autospacing="1" w:afterAutospacing="1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51721390"/>
    </w:sdtPr>
    <w:sdtContent>
      <w:p>
        <w:pPr>
          <w:pStyle w:val="Style25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3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7a65"/>
    <w:pPr>
      <w:widowControl/>
      <w:bidi w:val="0"/>
      <w:spacing w:lineRule="auto" w:line="240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Подпись к таблице + Полужирный;Не курсив"/>
    <w:qFormat/>
    <w:rsid w:val="00267a65"/>
    <w:rPr>
      <w:rFonts w:ascii="Arial" w:hAnsi="Arial" w:eastAsia="Arial" w:cs="Arial"/>
      <w:b/>
      <w:bCs/>
      <w:i/>
      <w:iCs/>
      <w:color w:val="000000"/>
      <w:spacing w:val="0"/>
      <w:w w:val="100"/>
      <w:sz w:val="18"/>
      <w:szCs w:val="18"/>
      <w:shd w:fill="FFFFFF" w:val="clear"/>
      <w:lang w:val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b5530"/>
    <w:rPr>
      <w:rFonts w:ascii="Calibri" w:hAnsi="Calibri" w:eastAsia="Calibri" w:cs="Times New Roman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b5530"/>
    <w:rPr>
      <w:rFonts w:ascii="Calibri" w:hAnsi="Calibri" w:eastAsia="Calibri" w:cs="Times New Roman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db5530"/>
    <w:rPr>
      <w:rFonts w:ascii="Tahoma" w:hAnsi="Tahoma" w:eastAsia="Calibri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U2msonormal" w:customStyle="1">
    <w:name w:val="u-2-msonormal"/>
    <w:basedOn w:val="Normal"/>
    <w:qFormat/>
    <w:rsid w:val="00267a65"/>
    <w:pPr>
      <w:spacing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c19fc"/>
    <w:pPr>
      <w:spacing w:before="0" w:after="20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db5530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db5530"/>
    <w:pPr>
      <w:tabs>
        <w:tab w:val="clear" w:pos="708"/>
        <w:tab w:val="center" w:pos="4677" w:leader="none"/>
        <w:tab w:val="right" w:pos="9355" w:leader="none"/>
      </w:tabs>
      <w:spacing w:before="0" w:after="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b5530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bb45c9"/>
    <w:pPr>
      <w:spacing w:after="0" w:line="240" w:lineRule="auto"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3bf7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LibreOffice/6.4.6.2$Linux_X86_64 LibreOffice_project/40$Build-2</Application>
  <Pages>8</Pages>
  <Words>1375</Words>
  <Characters>9793</Characters>
  <CharactersWithSpaces>11826</CharactersWithSpaces>
  <Paragraphs>115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2021-11-22T17:51:00Z</dcterms:created>
  <dc:creator>LadyBoss</dc:creator>
  <dc:description/>
  <dc:language>ru-RU</dc:language>
  <cp:lastModifiedBy/>
  <cp:lastPrinted>2021-11-25T16:24:00Z</cp:lastPrinted>
  <dcterms:modified xsi:type="dcterms:W3CDTF">2022-05-24T10:59:17Z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