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88" w:rsidRDefault="00527988" w:rsidP="009F3C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F9D" w:rsidRPr="00350197" w:rsidRDefault="00527988" w:rsidP="009F3C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Pr="00350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F9D" w:rsidRPr="0035019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Орловская СОШ</w:t>
      </w:r>
      <w:r w:rsidR="00157F9D" w:rsidRPr="0035019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7F9D" w:rsidRPr="00350197" w:rsidRDefault="00157F9D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F9D" w:rsidRDefault="00157F9D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988" w:rsidRDefault="00527988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988" w:rsidRDefault="00527988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988" w:rsidRPr="00350197" w:rsidRDefault="00527988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F9D" w:rsidRPr="00350197" w:rsidRDefault="00157F9D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F9D" w:rsidRPr="00350197" w:rsidRDefault="00157F9D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на тему:</w:t>
      </w:r>
    </w:p>
    <w:p w:rsidR="00527988" w:rsidRDefault="00157F9D" w:rsidP="009F3C1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50197">
        <w:rPr>
          <w:b/>
          <w:bCs/>
          <w:color w:val="000000"/>
          <w:sz w:val="28"/>
          <w:szCs w:val="28"/>
        </w:rPr>
        <w:t>«</w:t>
      </w:r>
      <w:r w:rsidR="00556C87" w:rsidRPr="00350197">
        <w:rPr>
          <w:b/>
          <w:color w:val="000000"/>
          <w:sz w:val="28"/>
          <w:szCs w:val="28"/>
        </w:rPr>
        <w:t xml:space="preserve">Причины неуспеваемости </w:t>
      </w:r>
      <w:proofErr w:type="gramStart"/>
      <w:r w:rsidR="00556C87" w:rsidRPr="00350197">
        <w:rPr>
          <w:b/>
          <w:color w:val="000000"/>
          <w:sz w:val="28"/>
          <w:szCs w:val="28"/>
        </w:rPr>
        <w:t>обучающихс</w:t>
      </w:r>
      <w:r w:rsidR="00350197" w:rsidRPr="00350197">
        <w:rPr>
          <w:b/>
          <w:color w:val="000000"/>
          <w:sz w:val="28"/>
          <w:szCs w:val="28"/>
        </w:rPr>
        <w:t>я</w:t>
      </w:r>
      <w:proofErr w:type="gramEnd"/>
      <w:r w:rsidR="00350197" w:rsidRPr="00350197">
        <w:rPr>
          <w:b/>
          <w:color w:val="000000"/>
          <w:sz w:val="28"/>
          <w:szCs w:val="28"/>
        </w:rPr>
        <w:t xml:space="preserve"> по физике </w:t>
      </w:r>
    </w:p>
    <w:p w:rsidR="00FC0DFA" w:rsidRPr="00350197" w:rsidRDefault="00350197" w:rsidP="009F3C1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50197">
        <w:rPr>
          <w:b/>
          <w:color w:val="000000"/>
          <w:sz w:val="28"/>
          <w:szCs w:val="28"/>
        </w:rPr>
        <w:t>и средства ее пр</w:t>
      </w:r>
      <w:r w:rsidRPr="00350197">
        <w:rPr>
          <w:b/>
          <w:color w:val="000000"/>
          <w:sz w:val="28"/>
          <w:szCs w:val="28"/>
        </w:rPr>
        <w:t>е</w:t>
      </w:r>
      <w:r w:rsidRPr="00350197">
        <w:rPr>
          <w:b/>
          <w:color w:val="000000"/>
          <w:sz w:val="28"/>
          <w:szCs w:val="28"/>
        </w:rPr>
        <w:t>одо</w:t>
      </w:r>
      <w:r w:rsidR="00556C87" w:rsidRPr="00350197">
        <w:rPr>
          <w:b/>
          <w:color w:val="000000"/>
          <w:sz w:val="28"/>
          <w:szCs w:val="28"/>
        </w:rPr>
        <w:t>ления</w:t>
      </w:r>
      <w:r w:rsidR="00FC0DFA" w:rsidRPr="00350197">
        <w:rPr>
          <w:b/>
          <w:color w:val="000000"/>
          <w:sz w:val="28"/>
          <w:szCs w:val="28"/>
        </w:rPr>
        <w:t>»</w:t>
      </w:r>
    </w:p>
    <w:p w:rsidR="00157F9D" w:rsidRPr="00350197" w:rsidRDefault="00157F9D" w:rsidP="009F3C1A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F9D" w:rsidRDefault="00157F9D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988" w:rsidRDefault="00527988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988" w:rsidRDefault="00527988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988" w:rsidRDefault="00527988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988" w:rsidRPr="00350197" w:rsidRDefault="00527988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F9D" w:rsidRPr="00350197" w:rsidRDefault="00157F9D" w:rsidP="009F3C1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F9D" w:rsidRPr="00350197" w:rsidRDefault="00157F9D" w:rsidP="009F3C1A">
      <w:pPr>
        <w:shd w:val="clear" w:color="auto" w:fill="FFFFFF"/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0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</w:t>
      </w:r>
      <w:r w:rsidR="00FC0DFA" w:rsidRPr="00350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физики</w:t>
      </w:r>
    </w:p>
    <w:p w:rsidR="00157F9D" w:rsidRPr="00350197" w:rsidRDefault="00527988" w:rsidP="009F3C1A">
      <w:pPr>
        <w:shd w:val="clear" w:color="auto" w:fill="FFFFFF"/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Лазарева Л.Л</w:t>
      </w:r>
      <w:r w:rsidR="00157F9D" w:rsidRPr="00350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57F9D" w:rsidRPr="00527988" w:rsidRDefault="00BA68FA" w:rsidP="00527988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0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  <w:r w:rsidR="00157F9D" w:rsidRPr="00350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556C87" w:rsidRPr="00527988" w:rsidRDefault="00556C87" w:rsidP="00527988">
      <w:pPr>
        <w:shd w:val="clear" w:color="auto" w:fill="FFFFFF"/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Несомненно, одним из основных показателей, как отдельной школы, так и всего образов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в целом является качество знаний обучающихся. Для контроля качества знаний обучающихся в последние годы проводятся диагностические и всероссийские проверочные работы. Они позв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ляют объективно оценить современную картину по отдельным предметам. Кроме того, данные р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боты направлены на выявление практического применения пол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ченных учениками знаний. </w:t>
      </w:r>
    </w:p>
    <w:p w:rsidR="00556C87" w:rsidRPr="00527988" w:rsidRDefault="00556C87" w:rsidP="00527988">
      <w:pPr>
        <w:shd w:val="clear" w:color="auto" w:fill="FFFFFF"/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="00671116"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несмотря на все принимаемые меры, остается небольшая группа учеников, неуспева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щих либо по отдельным предметам, либо</w:t>
      </w:r>
      <w:r w:rsidR="00671116"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сразу по н</w:t>
      </w:r>
      <w:r w:rsidR="00671116"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671116"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скольким предметам. Очень часто среди этих предметом можно встретить физику. Несомненно, физика не самая легкая наука для изучения, но это не повод получать по данному предмету н</w:t>
      </w:r>
      <w:r w:rsidR="00671116"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671116"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удовлетворительную оценку и опускать руки. При изучении физических законов учащемуся требуется иметь развитый математический аппарат. П</w:t>
      </w:r>
      <w:r w:rsidR="00671116"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671116"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этому дети, не успевающие по математике, автоматически испытывают большие трудности при изучении физики.</w:t>
      </w:r>
    </w:p>
    <w:p w:rsidR="00671116" w:rsidRPr="00527988" w:rsidRDefault="00671116" w:rsidP="00527988">
      <w:pPr>
        <w:shd w:val="clear" w:color="auto" w:fill="FFFFFF"/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 учитель стремится передать все свои знания и учения своим ученикам. Если уч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 добивается значительных успехов, это не может не радовать учителя. При этом, неуспева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щие, отстающие дети крайне огорчают как родителей и учителя, так и руководство образовател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ного учреждения. </w:t>
      </w:r>
      <w:proofErr w:type="gramStart"/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Ведь количество неуспевающих является одним из показателей эффе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527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тивности образовательного процесса. </w:t>
      </w:r>
      <w:proofErr w:type="gramEnd"/>
    </w:p>
    <w:p w:rsidR="00556C87" w:rsidRPr="00527988" w:rsidRDefault="00671116" w:rsidP="00527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еуспеваемость как распространенное явление в школах нетерпимо с точки зрения психологической и педагогической. У неуспевающего ученика появляется чувство непо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ноценности по сравнению с преобладающим числом усп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вающих учеников, неверие в свои силы, иногда безра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личие к учебным занятиям, а в отдельных случаях и неприязнь к школе.</w:t>
      </w:r>
    </w:p>
    <w:p w:rsidR="00556C87" w:rsidRPr="00527988" w:rsidRDefault="00556C87" w:rsidP="00527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профилактика неуспеваемости учащихся является в настоящее время одной из самых насущных задач современной школы.</w:t>
      </w:r>
    </w:p>
    <w:p w:rsidR="00556C87" w:rsidRPr="00527988" w:rsidRDefault="0068550D" w:rsidP="00527988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Неуспеваемость </w:t>
      </w:r>
      <w:proofErr w:type="gramStart"/>
      <w:r w:rsidRPr="0052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52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ее причины</w:t>
      </w:r>
    </w:p>
    <w:p w:rsidR="00556C87" w:rsidRPr="00527988" w:rsidRDefault="0068550D" w:rsidP="00527988">
      <w:pPr>
        <w:pStyle w:val="aa"/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теоретическую основу понятия неуспеваемость. Под н</w:t>
      </w:r>
      <w:r w:rsidRPr="00527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еуспеваем</w:t>
      </w:r>
      <w:r w:rsidRPr="00527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стью 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 высокую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отставания школьников в учении, </w:t>
      </w:r>
      <w:proofErr w:type="gramStart"/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ученик за отведенное время не овладевает знаниями, умениями и навыками, предусмотренными учебными программами, на уд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влетвор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уровне.</w:t>
      </w:r>
    </w:p>
    <w:p w:rsidR="0068550D" w:rsidRPr="00527988" w:rsidRDefault="0068550D" w:rsidP="00527988">
      <w:pPr>
        <w:pStyle w:val="aa"/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Отстающие ученики плохо воспринимают материал по предмету, не выполняют домашние з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дания, не имеют мотивации и интереса к приобретению новых знаний. Обычно такая ситуация наблюдается не по одному конкретному предмету, а по 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скольким. При этом у ребенка теряется полностью интерес к учебе. Он не хочет ходить в школу. В конечном итоге такое отношение к учебе выражается в плохом п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ведении, как на уроках, так и дома.</w:t>
      </w:r>
    </w:p>
    <w:p w:rsidR="00AA128C" w:rsidRPr="00527988" w:rsidRDefault="00AA128C" w:rsidP="00527988">
      <w:pPr>
        <w:pStyle w:val="aa"/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в основе неуспеваемости находится пробел в изученном материале. Ведь все зн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ученика в основе имеют некоторую базу. Если эти базовые знания отсутствуют, то дальне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изучение материала просто физически невозможно. Процесс обучения можно сравнить с пр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цессом строительства многоэтажного здания. Если фундамент этого здания имеет пробелы, то 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выстроить крепкое строение. Оно, несомненно, будет р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шиться. Именно такой процесс происходит с неуспевающими детьми. Они по какой-то причине не усвоили базовые знания. При этом процесс обучения не останавливается, и учитель продолжает объяснять новые темы, которые опираются </w:t>
      </w:r>
      <w:proofErr w:type="gram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предыдущие. А ученик усвоить эти знания не может. У большей части учеников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накапливается подготовленность учащихся – зн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умения, опыт творческой деятельности, 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из них накапливаются пробелы, недоработки, недостатки в знаниях, умениях, спосо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учиться.</w:t>
      </w:r>
      <w:r w:rsidR="00E93C71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вовремя устранять отдельные отставания учеников по предмету, то можно предо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врати</w:t>
      </w:r>
      <w:r w:rsidR="00E93C71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E93C71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неуспевающих учеников.</w:t>
      </w:r>
    </w:p>
    <w:p w:rsidR="00E93C71" w:rsidRPr="00527988" w:rsidRDefault="00E93C71" w:rsidP="00527988">
      <w:pPr>
        <w:pStyle w:val="aa"/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рассмотрим подробнее причины  неуспеваемости. Их можно ра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на две большие группы: внешние и внутренние.</w:t>
      </w:r>
    </w:p>
    <w:p w:rsidR="00E93C71" w:rsidRPr="00527988" w:rsidRDefault="00E93C71" w:rsidP="005279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числу </w:t>
      </w:r>
      <w:proofErr w:type="gramStart"/>
      <w:r w:rsidRPr="0052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внешних</w:t>
      </w:r>
      <w:proofErr w:type="gram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можно отнести  причины социально плана, а именно сн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ценности образования в обществе. В.С. </w:t>
      </w:r>
      <w:proofErr w:type="spell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Цетлин</w:t>
      </w:r>
      <w:proofErr w:type="spell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пишет: «Целен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правленная работа школы по предупреждению неуспеваемости может </w:t>
      </w:r>
      <w:proofErr w:type="gram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надл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жащие плоды</w:t>
      </w:r>
      <w:proofErr w:type="gram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при общем улучшении социальных условий». Кроме того, внешней причиной неуспеваемости  является  несовершенство организации учебного процесса (сухость в изложении материала, отсутствие индивидуального подхода, преобладание производящей деятельности, перегрузка и т.д.). Также очень большое зн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здесь имеет семья ученика и ее отношение к процессу обучения.</w:t>
      </w:r>
    </w:p>
    <w:p w:rsidR="00E93C71" w:rsidRPr="00527988" w:rsidRDefault="00E93C71" w:rsidP="005279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рассмотрим </w:t>
      </w:r>
      <w:r w:rsidRPr="0052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внутренние 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неуспеваемости. К ним относя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E93C71" w:rsidRPr="00527988" w:rsidRDefault="00E93C71" w:rsidP="00527988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здоровья школьников;</w:t>
      </w:r>
    </w:p>
    <w:p w:rsidR="00E93C71" w:rsidRPr="00527988" w:rsidRDefault="00E93C71" w:rsidP="00527988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развитие интеллекта;</w:t>
      </w:r>
    </w:p>
    <w:p w:rsidR="00E93C71" w:rsidRPr="00527988" w:rsidRDefault="00E93C71" w:rsidP="00527988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устойчивой положительной мотивации учения;</w:t>
      </w:r>
    </w:p>
    <w:p w:rsidR="00E93C71" w:rsidRPr="00527988" w:rsidRDefault="00E93C71" w:rsidP="00527988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разви</w:t>
      </w:r>
      <w:r w:rsidR="002259FA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 волевая сфера и др.</w:t>
      </w:r>
    </w:p>
    <w:p w:rsidR="00556C87" w:rsidRPr="00527988" w:rsidRDefault="002259FA" w:rsidP="00527988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 существует мировая статистика по преобладанию неуспевающих в отдельных возрастных группах.</w:t>
      </w:r>
      <w:proofErr w:type="gram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всего неуспевающих  в 5-6 и 9 классах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Медико-биологические и психологические исследования школьников позволили пре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положить, что на снижение школьной успеваемости в младшем подростковом и раннем юношеском возрасте сказываются специфич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возрастные моменты. В частности, в этот период отмечается замедление темпов роста, кач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интенсивности умственной деятельности, повышаются утомляемость и возбудимость нер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системы. Эти возрастные особенности школа может усиливать или нивелир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556C87" w:rsidRPr="00527988" w:rsidRDefault="002259FA" w:rsidP="00527988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учитель при подготовке и проведении занятий должен учит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возрастные особенности учеников и  особенности их нервной с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стемы.</w:t>
      </w:r>
    </w:p>
    <w:p w:rsidR="002259FA" w:rsidRPr="00527988" w:rsidRDefault="002259FA" w:rsidP="00527988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Способы преодоления неуспеваемости </w:t>
      </w:r>
      <w:proofErr w:type="gramStart"/>
      <w:r w:rsidRPr="0052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52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физике.</w:t>
      </w:r>
    </w:p>
    <w:p w:rsidR="00410737" w:rsidRPr="00527988" w:rsidRDefault="00410737" w:rsidP="005279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предупредить неуспеваемость учеников гораздо проще</w:t>
      </w:r>
      <w:r w:rsidR="004A0AC9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последующем  ее преодолевать. Именно поэтому необходимо уделять больше внимания беседе с учениками, пров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анализ самостоятельных, лабораторных и ко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трольных работ. Своевременно реагировать на снижение познавательной активн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учеников.</w:t>
      </w:r>
    </w:p>
    <w:p w:rsidR="00410737" w:rsidRPr="00527988" w:rsidRDefault="00410737" w:rsidP="005279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ключевых тем по физике необходимо не только контролировать процесс усв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материала при помощи дидактических матери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лов. </w:t>
      </w:r>
      <w:r w:rsidR="004A0AC9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можно использовать игру в качестве инструмента для з</w:t>
      </w:r>
      <w:r w:rsidR="004A0AC9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0AC9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крепления материала. При этом повышается мотивация и интерес к процессу обучения.</w:t>
      </w:r>
    </w:p>
    <w:p w:rsidR="004A0AC9" w:rsidRPr="00527988" w:rsidRDefault="004A0AC9" w:rsidP="005279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в качестве профилактики неуспеваемости  учеников по физике необходимо прим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дифференцированный подход при подготовке самостоятельных и контрольных работ. Зад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должны иметь разный уровень сложности и быть направлены на выявления пробелов в из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ченном материале для их дальнейшего устранения.</w:t>
      </w:r>
    </w:p>
    <w:p w:rsidR="00556C87" w:rsidRPr="00527988" w:rsidRDefault="004A0AC9" w:rsidP="005279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предотвратить неуспеваемость на этапе отставания не удалось, то необходимо более детально разобраться с причинами этой неуспеваемо</w:t>
      </w:r>
      <w:r w:rsidR="00122C6D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выяснить основную.</w:t>
      </w:r>
    </w:p>
    <w:p w:rsidR="00556C87" w:rsidRPr="00527988" w:rsidRDefault="00122C6D" w:rsidP="0052798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речь идет о низком уровне знаний ученика и отсутствии у него базовых знаний, то здесь целесообразно разработать для данного ученика упрощенный вариант самостоятельных и ко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трольных работ. В это время необходимо повысить ур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базовых знаний, дать возможность ученику догнать своих одноклассников. При этом</w:t>
      </w:r>
      <w:proofErr w:type="gram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учеников отказывается решать задачи в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обще, говоря при этом «У меня не получится, я не умею». Здесь очень важно преодолеть психол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гический барьер. </w:t>
      </w:r>
    </w:p>
    <w:p w:rsidR="00556C87" w:rsidRPr="00527988" w:rsidRDefault="00122C6D" w:rsidP="0052798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причиной неуспеваемости детей является заболевания или неблагоприятные быт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условия. В данном случае работа учителя по устранению неусп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ваемости должна быть тесно связана с психолого-педагогическим сопровождением ребенка и непосредственным взаимоде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ствием с родителями. При этом также нео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применить индивидуальный подход к ученику, учитывая его индивидуал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особенности.</w:t>
      </w:r>
    </w:p>
    <w:p w:rsidR="009A4BFF" w:rsidRPr="00527988" w:rsidRDefault="009A4BFF" w:rsidP="0052798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всего перечисленного снижение мотивации к обучению также негативно влияет на успеваемость учеников. Повысить мотивацию можно при помощи применения современных средств обучения. В настоящее время возможно применение интерактивных моделей и лаборато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работ. Это позволяет повысить интерес к изучаемому предмету.</w:t>
      </w:r>
    </w:p>
    <w:p w:rsidR="009A4BFF" w:rsidRPr="00527988" w:rsidRDefault="009A4BFF" w:rsidP="0052798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преодоления неуспеваемости учитель должен применять целый ряд средств, которые можно разделить </w:t>
      </w:r>
      <w:proofErr w:type="gram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6C87" w:rsidRPr="00527988" w:rsidRDefault="00556C87" w:rsidP="00527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:rsidR="00556C87" w:rsidRPr="00527988" w:rsidRDefault="00556C87" w:rsidP="00527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частнометодические</w:t>
      </w:r>
      <w:proofErr w:type="spell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:rsidR="00556C87" w:rsidRPr="00527988" w:rsidRDefault="00556C87" w:rsidP="00527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воспитательные средства;</w:t>
      </w:r>
    </w:p>
    <w:p w:rsidR="00556C87" w:rsidRPr="00527988" w:rsidRDefault="00556C87" w:rsidP="00527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организационно-педагогические мероприятия.</w:t>
      </w:r>
    </w:p>
    <w:p w:rsidR="003A24B3" w:rsidRPr="00527988" w:rsidRDefault="009A4BFF" w:rsidP="00527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527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общедидактические</w:t>
      </w:r>
      <w:proofErr w:type="spellEnd"/>
      <w:r w:rsidRPr="00527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средствам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р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ациональная организация учебной работы, построение правильного соотношения составных частей каждого урока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его цели</w:t>
      </w:r>
      <w:proofErr w:type="gramStart"/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ясность и четкость изложения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ность, 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изучаемого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жизнью, с практикой, </w:t>
      </w:r>
      <w:r w:rsidR="003A24B3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ученика в процессе обуче</w:t>
      </w:r>
      <w:r w:rsidR="003A24B3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рационализация форм и метод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приемов текущего и итогового учета знаний учащихся, изучения затруднений и пробелов в знаниях в целях своевременного их устран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6C87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</w:t>
      </w:r>
    </w:p>
    <w:p w:rsidR="00556C87" w:rsidRPr="00527988" w:rsidRDefault="003A24B3" w:rsidP="00527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важно применять индивидуальный подход,  как при контроле знаний учеников, так и при подготовке домашнего задания. Необходимо учитывать инд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видуальные особенности учеников, состояние их здоровья, пробелы в изученном материале  и давать возможность догнать своих однокла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сников по предмету.</w:t>
      </w:r>
    </w:p>
    <w:p w:rsidR="00556C87" w:rsidRPr="00527988" w:rsidRDefault="00556C87" w:rsidP="00527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Частнометодические</w:t>
      </w:r>
      <w:proofErr w:type="spellEnd"/>
      <w:r w:rsidRPr="0052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учет особенностей преподавания учителем и усвоения учащимися данного учебного предмета; </w:t>
      </w:r>
      <w:proofErr w:type="spell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предусмотрение</w:t>
      </w:r>
      <w:proofErr w:type="spell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преодоление специфических трудн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в усвоении учащимися тех или иных разделов и тем по программе данного предмета; пр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вильное сочетание и вз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имная связь теоретических и практических занятий в процессе обучения.</w:t>
      </w:r>
    </w:p>
    <w:p w:rsidR="003A24B3" w:rsidRPr="00527988" w:rsidRDefault="003A24B3" w:rsidP="00527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в седьмых класса, в самом начале изучение курса физики, учеников необх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познакомить с такими понятиями, как погрешность измерения, цена деления, структурой научного исследования, переводу величин в интернационал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системе и др. </w:t>
      </w:r>
    </w:p>
    <w:p w:rsidR="00556C87" w:rsidRPr="00527988" w:rsidRDefault="00556C87" w:rsidP="00527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средства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4B3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единые требования к учащимся со стороны всего п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коллектива</w:t>
      </w:r>
      <w:r w:rsidR="003A24B3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4B3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разумные 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3A24B3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 и взыскания, укрепление школьной дисц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плины, воспитание сознательного и ответственного отношения учащихся </w:t>
      </w:r>
      <w:proofErr w:type="gram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об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занностям, </w:t>
      </w:r>
      <w:r w:rsidR="003A24B3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</w:t>
      </w:r>
      <w:r w:rsidR="003A24B3"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товарищеской взаимопомощи в учебе и борьбы самих уч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высокую успева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мость.</w:t>
      </w:r>
    </w:p>
    <w:p w:rsidR="00556C87" w:rsidRPr="00527988" w:rsidRDefault="00556C87" w:rsidP="00527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как бы завершают всю систему педагог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средств по предупреждению неуспеваемости.</w:t>
      </w:r>
    </w:p>
    <w:p w:rsidR="00350197" w:rsidRPr="00527988" w:rsidRDefault="00556C87" w:rsidP="00527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правильной постановки руководства учебно-воспитательной работой со стороны директора и заведующего учебной частью школы в значительной мере зависит п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вышение качества уроков, работа учителей над совершенством своего педагогич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мастерства и осуществление в школе системы мер, целенаправленных на д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стижение высокой успеваемости.</w:t>
      </w:r>
    </w:p>
    <w:p w:rsidR="00350197" w:rsidRPr="00527988" w:rsidRDefault="00350197" w:rsidP="0052798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неуспеваемости в школе является одной из основных задач, как отдельного уч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теля, так и всего педагогического коллектива школы. При этом необходимо использовать все д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ступные средства и методы. Однако на первое место в работе с неуспевающими детьми выходит индивидуальный подход. Именно с его </w:t>
      </w:r>
      <w:proofErr w:type="gramStart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ликвидировать пробелы в изученном материале и повысить  и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 к учебе.</w:t>
      </w:r>
    </w:p>
    <w:p w:rsidR="00350197" w:rsidRPr="00527988" w:rsidRDefault="00350197" w:rsidP="00527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C87" w:rsidRPr="00527988" w:rsidRDefault="00556C87" w:rsidP="00527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56C87" w:rsidRPr="00527988" w:rsidSect="00527988">
      <w:footerReference w:type="default" r:id="rId9"/>
      <w:pgSz w:w="11906" w:h="16838"/>
      <w:pgMar w:top="851" w:right="851" w:bottom="851" w:left="851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AA" w:rsidRDefault="009E22AA" w:rsidP="00911D7B">
      <w:pPr>
        <w:spacing w:after="0" w:line="240" w:lineRule="auto"/>
      </w:pPr>
      <w:r>
        <w:separator/>
      </w:r>
    </w:p>
  </w:endnote>
  <w:endnote w:type="continuationSeparator" w:id="0">
    <w:p w:rsidR="009E22AA" w:rsidRDefault="009E22AA" w:rsidP="0091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928114"/>
      <w:docPartObj>
        <w:docPartGallery w:val="Page Numbers (Bottom of Page)"/>
        <w:docPartUnique/>
      </w:docPartObj>
    </w:sdtPr>
    <w:sdtEndPr/>
    <w:sdtContent>
      <w:p w:rsidR="00E93C71" w:rsidRDefault="00E93C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988">
          <w:rPr>
            <w:noProof/>
          </w:rPr>
          <w:t>2</w:t>
        </w:r>
        <w:r>
          <w:fldChar w:fldCharType="end"/>
        </w:r>
      </w:p>
    </w:sdtContent>
  </w:sdt>
  <w:p w:rsidR="00E93C71" w:rsidRDefault="00E93C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AA" w:rsidRDefault="009E22AA" w:rsidP="00911D7B">
      <w:pPr>
        <w:spacing w:after="0" w:line="240" w:lineRule="auto"/>
      </w:pPr>
      <w:r>
        <w:separator/>
      </w:r>
    </w:p>
  </w:footnote>
  <w:footnote w:type="continuationSeparator" w:id="0">
    <w:p w:rsidR="009E22AA" w:rsidRDefault="009E22AA" w:rsidP="0091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F87"/>
    <w:multiLevelType w:val="multilevel"/>
    <w:tmpl w:val="8DCC6D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C158B"/>
    <w:multiLevelType w:val="multilevel"/>
    <w:tmpl w:val="3C7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B086D"/>
    <w:multiLevelType w:val="multilevel"/>
    <w:tmpl w:val="B8AE8B4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C42ABC"/>
    <w:multiLevelType w:val="hybridMultilevel"/>
    <w:tmpl w:val="B76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1FBC"/>
    <w:multiLevelType w:val="multilevel"/>
    <w:tmpl w:val="6E14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C676D"/>
    <w:multiLevelType w:val="hybridMultilevel"/>
    <w:tmpl w:val="9EF6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56ECE"/>
    <w:multiLevelType w:val="multilevel"/>
    <w:tmpl w:val="3C8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35365"/>
    <w:multiLevelType w:val="multilevel"/>
    <w:tmpl w:val="FF6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9260F"/>
    <w:multiLevelType w:val="multilevel"/>
    <w:tmpl w:val="B2B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033B3"/>
    <w:multiLevelType w:val="multilevel"/>
    <w:tmpl w:val="500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24473"/>
    <w:multiLevelType w:val="multilevel"/>
    <w:tmpl w:val="843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7580D"/>
    <w:multiLevelType w:val="multilevel"/>
    <w:tmpl w:val="654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40565"/>
    <w:multiLevelType w:val="multilevel"/>
    <w:tmpl w:val="3308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85D89"/>
    <w:multiLevelType w:val="hybridMultilevel"/>
    <w:tmpl w:val="30BA9694"/>
    <w:lvl w:ilvl="0" w:tplc="DCDA1F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652C"/>
    <w:multiLevelType w:val="multilevel"/>
    <w:tmpl w:val="4A3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8F0EDB"/>
    <w:multiLevelType w:val="multilevel"/>
    <w:tmpl w:val="3096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E7AF6"/>
    <w:multiLevelType w:val="multilevel"/>
    <w:tmpl w:val="E74C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D7F94"/>
    <w:multiLevelType w:val="multilevel"/>
    <w:tmpl w:val="386E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7B3B2A"/>
    <w:multiLevelType w:val="hybridMultilevel"/>
    <w:tmpl w:val="10806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50F7551"/>
    <w:multiLevelType w:val="multilevel"/>
    <w:tmpl w:val="C882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A5A13"/>
    <w:multiLevelType w:val="multilevel"/>
    <w:tmpl w:val="85B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203C1"/>
    <w:multiLevelType w:val="multilevel"/>
    <w:tmpl w:val="64C2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00EBC"/>
    <w:multiLevelType w:val="multilevel"/>
    <w:tmpl w:val="DA8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240263"/>
    <w:multiLevelType w:val="multilevel"/>
    <w:tmpl w:val="89F2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6428F"/>
    <w:multiLevelType w:val="multilevel"/>
    <w:tmpl w:val="3222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B237A3"/>
    <w:multiLevelType w:val="hybridMultilevel"/>
    <w:tmpl w:val="6DE6998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6C012A25"/>
    <w:multiLevelType w:val="hybridMultilevel"/>
    <w:tmpl w:val="2CECB46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>
    <w:nsid w:val="73A42C8A"/>
    <w:multiLevelType w:val="hybridMultilevel"/>
    <w:tmpl w:val="9C32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212AD"/>
    <w:multiLevelType w:val="multilevel"/>
    <w:tmpl w:val="6C5E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F290E"/>
    <w:multiLevelType w:val="multilevel"/>
    <w:tmpl w:val="6F8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F57FCA"/>
    <w:multiLevelType w:val="hybridMultilevel"/>
    <w:tmpl w:val="35EE6122"/>
    <w:lvl w:ilvl="0" w:tplc="E6468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F610CF"/>
    <w:multiLevelType w:val="multilevel"/>
    <w:tmpl w:val="2DB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1C2086"/>
    <w:multiLevelType w:val="multilevel"/>
    <w:tmpl w:val="FEB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6E7246"/>
    <w:multiLevelType w:val="multilevel"/>
    <w:tmpl w:val="838A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32"/>
  </w:num>
  <w:num w:numId="4">
    <w:abstractNumId w:val="11"/>
  </w:num>
  <w:num w:numId="5">
    <w:abstractNumId w:val="8"/>
  </w:num>
  <w:num w:numId="6">
    <w:abstractNumId w:val="19"/>
  </w:num>
  <w:num w:numId="7">
    <w:abstractNumId w:val="1"/>
  </w:num>
  <w:num w:numId="8">
    <w:abstractNumId w:val="16"/>
  </w:num>
  <w:num w:numId="9">
    <w:abstractNumId w:val="9"/>
  </w:num>
  <w:num w:numId="10">
    <w:abstractNumId w:val="15"/>
  </w:num>
  <w:num w:numId="11">
    <w:abstractNumId w:val="22"/>
  </w:num>
  <w:num w:numId="12">
    <w:abstractNumId w:val="29"/>
  </w:num>
  <w:num w:numId="13">
    <w:abstractNumId w:val="31"/>
  </w:num>
  <w:num w:numId="14">
    <w:abstractNumId w:val="12"/>
  </w:num>
  <w:num w:numId="15">
    <w:abstractNumId w:val="14"/>
  </w:num>
  <w:num w:numId="16">
    <w:abstractNumId w:val="0"/>
  </w:num>
  <w:num w:numId="17">
    <w:abstractNumId w:val="30"/>
  </w:num>
  <w:num w:numId="18">
    <w:abstractNumId w:val="4"/>
  </w:num>
  <w:num w:numId="19">
    <w:abstractNumId w:val="20"/>
  </w:num>
  <w:num w:numId="20">
    <w:abstractNumId w:val="17"/>
  </w:num>
  <w:num w:numId="21">
    <w:abstractNumId w:val="26"/>
  </w:num>
  <w:num w:numId="22">
    <w:abstractNumId w:val="3"/>
  </w:num>
  <w:num w:numId="23">
    <w:abstractNumId w:val="27"/>
  </w:num>
  <w:num w:numId="24">
    <w:abstractNumId w:val="5"/>
  </w:num>
  <w:num w:numId="25">
    <w:abstractNumId w:val="18"/>
  </w:num>
  <w:num w:numId="26">
    <w:abstractNumId w:val="24"/>
  </w:num>
  <w:num w:numId="27">
    <w:abstractNumId w:val="23"/>
  </w:num>
  <w:num w:numId="28">
    <w:abstractNumId w:val="28"/>
  </w:num>
  <w:num w:numId="29">
    <w:abstractNumId w:val="2"/>
  </w:num>
  <w:num w:numId="30">
    <w:abstractNumId w:val="33"/>
  </w:num>
  <w:num w:numId="31">
    <w:abstractNumId w:val="6"/>
  </w:num>
  <w:num w:numId="32">
    <w:abstractNumId w:val="7"/>
  </w:num>
  <w:num w:numId="33">
    <w:abstractNumId w:val="1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68"/>
    <w:rsid w:val="00052F6F"/>
    <w:rsid w:val="00057C10"/>
    <w:rsid w:val="0007674F"/>
    <w:rsid w:val="000F3E42"/>
    <w:rsid w:val="001076E0"/>
    <w:rsid w:val="00110625"/>
    <w:rsid w:val="00122C6D"/>
    <w:rsid w:val="00157F9D"/>
    <w:rsid w:val="002259FA"/>
    <w:rsid w:val="00281168"/>
    <w:rsid w:val="002A701E"/>
    <w:rsid w:val="00350197"/>
    <w:rsid w:val="003A24B3"/>
    <w:rsid w:val="00410737"/>
    <w:rsid w:val="00476263"/>
    <w:rsid w:val="004A0AC9"/>
    <w:rsid w:val="00527988"/>
    <w:rsid w:val="00556C87"/>
    <w:rsid w:val="005D2D58"/>
    <w:rsid w:val="005E783B"/>
    <w:rsid w:val="005F1FE6"/>
    <w:rsid w:val="006209F0"/>
    <w:rsid w:val="00626C49"/>
    <w:rsid w:val="00650FC6"/>
    <w:rsid w:val="00671116"/>
    <w:rsid w:val="0068550D"/>
    <w:rsid w:val="00687EE8"/>
    <w:rsid w:val="006F6BD9"/>
    <w:rsid w:val="007B2C19"/>
    <w:rsid w:val="00825C06"/>
    <w:rsid w:val="008D4548"/>
    <w:rsid w:val="00911D7B"/>
    <w:rsid w:val="009A4BFF"/>
    <w:rsid w:val="009E22AA"/>
    <w:rsid w:val="009F3C1A"/>
    <w:rsid w:val="00A2342F"/>
    <w:rsid w:val="00A60B97"/>
    <w:rsid w:val="00AA128C"/>
    <w:rsid w:val="00AA322A"/>
    <w:rsid w:val="00B13B18"/>
    <w:rsid w:val="00B656A3"/>
    <w:rsid w:val="00B7099D"/>
    <w:rsid w:val="00B96B1C"/>
    <w:rsid w:val="00BA68FA"/>
    <w:rsid w:val="00C326CF"/>
    <w:rsid w:val="00CA4634"/>
    <w:rsid w:val="00CB094B"/>
    <w:rsid w:val="00CE6E5C"/>
    <w:rsid w:val="00CF5FEA"/>
    <w:rsid w:val="00D24475"/>
    <w:rsid w:val="00D30491"/>
    <w:rsid w:val="00DD2D5C"/>
    <w:rsid w:val="00DE01DF"/>
    <w:rsid w:val="00E1190F"/>
    <w:rsid w:val="00E2676B"/>
    <w:rsid w:val="00E8292D"/>
    <w:rsid w:val="00E93C71"/>
    <w:rsid w:val="00EF1945"/>
    <w:rsid w:val="00F57E7B"/>
    <w:rsid w:val="00FA7A4E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7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7F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5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9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57C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10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0F3E42"/>
    <w:pPr>
      <w:ind w:left="720"/>
      <w:contextualSpacing/>
    </w:pPr>
  </w:style>
  <w:style w:type="paragraph" w:customStyle="1" w:styleId="c0">
    <w:name w:val="c0"/>
    <w:basedOn w:val="a"/>
    <w:rsid w:val="000F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3E42"/>
  </w:style>
  <w:style w:type="paragraph" w:styleId="ab">
    <w:name w:val="header"/>
    <w:basedOn w:val="a"/>
    <w:link w:val="ac"/>
    <w:uiPriority w:val="99"/>
    <w:unhideWhenUsed/>
    <w:rsid w:val="0091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1D7B"/>
  </w:style>
  <w:style w:type="paragraph" w:styleId="ad">
    <w:name w:val="footer"/>
    <w:basedOn w:val="a"/>
    <w:link w:val="ae"/>
    <w:uiPriority w:val="99"/>
    <w:unhideWhenUsed/>
    <w:rsid w:val="0091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1D7B"/>
  </w:style>
  <w:style w:type="character" w:customStyle="1" w:styleId="c5">
    <w:name w:val="c5"/>
    <w:basedOn w:val="a0"/>
    <w:rsid w:val="00FC0DFA"/>
  </w:style>
  <w:style w:type="character" w:styleId="af">
    <w:name w:val="Strong"/>
    <w:basedOn w:val="a0"/>
    <w:uiPriority w:val="22"/>
    <w:qFormat/>
    <w:rsid w:val="00D244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6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CE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7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7F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5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9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57C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10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0F3E42"/>
    <w:pPr>
      <w:ind w:left="720"/>
      <w:contextualSpacing/>
    </w:pPr>
  </w:style>
  <w:style w:type="paragraph" w:customStyle="1" w:styleId="c0">
    <w:name w:val="c0"/>
    <w:basedOn w:val="a"/>
    <w:rsid w:val="000F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3E42"/>
  </w:style>
  <w:style w:type="paragraph" w:styleId="ab">
    <w:name w:val="header"/>
    <w:basedOn w:val="a"/>
    <w:link w:val="ac"/>
    <w:uiPriority w:val="99"/>
    <w:unhideWhenUsed/>
    <w:rsid w:val="0091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1D7B"/>
  </w:style>
  <w:style w:type="paragraph" w:styleId="ad">
    <w:name w:val="footer"/>
    <w:basedOn w:val="a"/>
    <w:link w:val="ae"/>
    <w:uiPriority w:val="99"/>
    <w:unhideWhenUsed/>
    <w:rsid w:val="0091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1D7B"/>
  </w:style>
  <w:style w:type="character" w:customStyle="1" w:styleId="c5">
    <w:name w:val="c5"/>
    <w:basedOn w:val="a0"/>
    <w:rsid w:val="00FC0DFA"/>
  </w:style>
  <w:style w:type="character" w:styleId="af">
    <w:name w:val="Strong"/>
    <w:basedOn w:val="a0"/>
    <w:uiPriority w:val="22"/>
    <w:qFormat/>
    <w:rsid w:val="00D244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6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CE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91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CAB6-AC4D-433B-89A4-4310AF21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</vt:lpstr>
      <vt:lpstr>    </vt:lpstr>
      <vt:lpstr>    Доклад на тему:</vt:lpstr>
      <vt:lpstr>    </vt:lpstr>
      <vt:lpstr>    </vt:lpstr>
      <vt:lpstr>    </vt:lpstr>
      <vt:lpstr>    Учитель физики</vt:lpstr>
      <vt:lpstr>    Павлова Т.А.</vt:lpstr>
      <vt:lpstr>    </vt:lpstr>
      <vt:lpstr>    </vt:lpstr>
      <vt:lpstr>    </vt:lpstr>
      <vt:lpstr>    Ивантеевка, 2019г.</vt:lpstr>
      <vt:lpstr>    Оглавление:</vt:lpstr>
      <vt:lpstr>    Введение</vt:lpstr>
      <vt:lpstr>    Список литературы</vt:lpstr>
      <vt:lpstr>    Введение</vt:lpstr>
      <vt:lpstr>    Несомненно, одним из основных показателей, как отдельной школы, так и всего обра</vt:lpstr>
      <vt:lpstr>    Но, несмотря на все принимаемые меры, остается небольшая группа учеников, неуспе</vt:lpstr>
      <vt:lpstr>    Каждый учитель стремится передать все свои знания и учения своим ученикам. Если </vt:lpstr>
    </vt:vector>
  </TitlesOfParts>
  <Company>SPecialiST RePack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UserPC</cp:lastModifiedBy>
  <cp:revision>5</cp:revision>
  <dcterms:created xsi:type="dcterms:W3CDTF">2020-02-16T12:10:00Z</dcterms:created>
  <dcterms:modified xsi:type="dcterms:W3CDTF">2022-02-26T15:34:00Z</dcterms:modified>
</cp:coreProperties>
</file>